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8B" w:rsidRPr="002A1D40" w:rsidRDefault="00773B8B" w:rsidP="0001182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2A1D40">
        <w:rPr>
          <w:rFonts w:ascii="Times New Roman" w:hAnsi="Times New Roman" w:cs="Times New Roman"/>
          <w:b/>
          <w:sz w:val="20"/>
          <w:szCs w:val="20"/>
          <w:lang w:val="hr-HR"/>
        </w:rPr>
        <w:t>Obrazac 1.3.2. Izvedbeni plan nastave (</w:t>
      </w:r>
      <w:r w:rsidRPr="002A1D40">
        <w:rPr>
          <w:rFonts w:ascii="Times New Roman" w:hAnsi="Times New Roman" w:cs="Times New Roman"/>
          <w:b/>
          <w:i/>
          <w:sz w:val="20"/>
          <w:szCs w:val="20"/>
          <w:lang w:val="hr-HR"/>
        </w:rPr>
        <w:t>syllabus</w:t>
      </w:r>
      <w:r w:rsidRPr="002A1D40">
        <w:rPr>
          <w:rFonts w:ascii="Times New Roman" w:hAnsi="Times New Roman" w:cs="Times New Roman"/>
          <w:b/>
          <w:sz w:val="20"/>
          <w:szCs w:val="20"/>
          <w:lang w:val="hr-HR"/>
        </w:rPr>
        <w:t>)</w:t>
      </w:r>
      <w:r w:rsidRPr="002A1D40">
        <w:rPr>
          <w:rFonts w:ascii="Times New Roman" w:hAnsi="Times New Roman" w:cs="Times New Roman"/>
          <w:b/>
          <w:sz w:val="20"/>
          <w:szCs w:val="20"/>
          <w:vertAlign w:val="superscript"/>
          <w:lang w:val="hr-HR"/>
        </w:rPr>
        <w:footnoteReference w:customMarkFollows="1" w:id="2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773B8B" w:rsidRPr="002A1D40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717137" w:rsidRPr="002A1D40" w:rsidRDefault="00011829" w:rsidP="0001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Britanski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roman 2.polovice 20.stoljeća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773B8B" w:rsidRPr="002A1D40" w:rsidRDefault="009B1FC4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2020./2021</w:t>
            </w:r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773B8B" w:rsidRPr="002A1D40" w:rsidRDefault="00A76EF2" w:rsidP="0001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Preddiplomski</w:t>
            </w:r>
            <w:proofErr w:type="spellEnd"/>
            <w:r w:rsidR="009B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studij</w:t>
            </w:r>
            <w:proofErr w:type="spellEnd"/>
            <w:r w:rsidR="009B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024E" w:rsidRPr="002A1D40">
              <w:rPr>
                <w:rFonts w:ascii="Times New Roman" w:hAnsi="Times New Roman" w:cs="Times New Roman"/>
                <w:sz w:val="20"/>
                <w:szCs w:val="20"/>
              </w:rPr>
              <w:t>anglistike</w:t>
            </w:r>
            <w:proofErr w:type="spellEnd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1533" w:type="dxa"/>
            <w:gridSpan w:val="4"/>
          </w:tcPr>
          <w:p w:rsidR="00773B8B" w:rsidRPr="002A1D40" w:rsidRDefault="00011829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773B8B" w:rsidRPr="002A1D40" w:rsidRDefault="00A76EF2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Odjel za anglistiku</w:t>
            </w:r>
            <w:bookmarkStart w:id="0" w:name="_GoBack"/>
            <w:bookmarkEnd w:id="0"/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756323617"/>
              </w:sdtPr>
              <w:sdtContent>
                <w:r w:rsidR="00A76EF2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885978457"/>
              </w:sdtPr>
              <w:sdtContent>
                <w:r w:rsidR="002A1D40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710774606"/>
              </w:sdtPr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773B8B" w:rsidRPr="002A1D40" w:rsidRDefault="00EF6E99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893787010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poslijediplomski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Vrsta studija</w:t>
            </w:r>
          </w:p>
        </w:tc>
        <w:tc>
          <w:tcPr>
            <w:tcW w:w="1729" w:type="dxa"/>
            <w:gridSpan w:val="9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924992504"/>
              </w:sdtPr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jednopredmetni</w:t>
            </w:r>
          </w:p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715016045"/>
              </w:sdtPr>
              <w:sdtContent>
                <w:r w:rsidR="00AC308F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37830465"/>
              </w:sdtPr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359818867"/>
              </w:sdtPr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773B8B" w:rsidRPr="002A1D40" w:rsidRDefault="00EF6E99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846168939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specijalistički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773B8B" w:rsidRPr="002A1D40" w:rsidRDefault="00EF6E99" w:rsidP="00CB1AA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2060285759"/>
                <w:showingPlcHdr/>
              </w:sdtPr>
              <w:sdtContent>
                <w:r w:rsidR="00CB1AA0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    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773B8B" w:rsidRPr="00CB1AA0" w:rsidRDefault="00EF6E9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  <w:lang w:val="hr-HR"/>
                </w:rPr>
                <w:id w:val="-200097373"/>
              </w:sdtPr>
              <w:sdtContent>
                <w:r w:rsidR="00773B8B" w:rsidRPr="00CB1AA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  <w:highlight w:val="yellow"/>
                    <w:lang w:val="hr-HR"/>
                  </w:rPr>
                  <w:t>☐</w:t>
                </w:r>
              </w:sdtContent>
            </w:sdt>
            <w:r w:rsidR="00773B8B" w:rsidRPr="00CB1AA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hr-HR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773B8B" w:rsidRPr="00CB1AA0" w:rsidRDefault="00EF6E9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  <w:lang w:val="hr-HR"/>
                </w:rPr>
                <w:id w:val="-129552276"/>
              </w:sdtPr>
              <w:sdtContent>
                <w:r w:rsidR="00773B8B" w:rsidRPr="00CB1AA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  <w:highlight w:val="yellow"/>
                    <w:lang w:val="hr-HR"/>
                  </w:rPr>
                  <w:t>☐</w:t>
                </w:r>
              </w:sdtContent>
            </w:sdt>
            <w:r w:rsidR="00773B8B" w:rsidRPr="00CB1AA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hr-HR"/>
              </w:rPr>
              <w:t xml:space="preserve"> 3</w:t>
            </w:r>
            <w:r w:rsidR="00773B8B" w:rsidRPr="00CB1AA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520394060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969365248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5.</w:t>
            </w:r>
          </w:p>
        </w:tc>
      </w:tr>
      <w:tr w:rsidR="00773B8B" w:rsidRPr="002A1D40" w:rsidTr="00E40572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87517076"/>
              </w:sdtPr>
              <w:sdtContent>
                <w:r w:rsidR="00011829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zimski</w:t>
            </w:r>
          </w:p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60402556"/>
              </w:sdtPr>
              <w:sdtContent>
                <w:r w:rsidR="00011829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066719738"/>
              </w:sdtPr>
              <w:sdtContent>
                <w:r w:rsidR="00011829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225190636"/>
              </w:sdtPr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5210073"/>
              </w:sdtPr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118060530"/>
              </w:sdtPr>
              <w:sdtContent>
                <w:r w:rsidR="00011829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087196952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V.</w:t>
            </w:r>
          </w:p>
        </w:tc>
      </w:tr>
      <w:tr w:rsidR="00773B8B" w:rsidRPr="002A1D40" w:rsidTr="00E40572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66" w:type="dxa"/>
            <w:gridSpan w:val="3"/>
            <w:vMerge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978532428"/>
              </w:sdtPr>
              <w:sdtContent>
                <w:r w:rsidR="00011829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63515022"/>
              </w:sdtPr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07231471"/>
              </w:sdtPr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489398426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206168953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X.</w:t>
            </w:r>
          </w:p>
        </w:tc>
      </w:tr>
      <w:tr w:rsidR="00773B8B" w:rsidRPr="002A1D40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165085708"/>
              </w:sdtPr>
              <w:sdtContent>
                <w:r w:rsidR="00A16AB7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720933748"/>
              </w:sdtPr>
              <w:sdtContent>
                <w:r w:rsidR="00A16AB7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904208918"/>
              </w:sdtPr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303346348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754021596"/>
              </w:sdtPr>
              <w:sdtContent>
                <w:r w:rsidR="00A76EF2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NE</w:t>
            </w:r>
          </w:p>
        </w:tc>
      </w:tr>
      <w:tr w:rsidR="00773B8B" w:rsidRPr="002A1D40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Opterećenje</w:t>
            </w:r>
          </w:p>
        </w:tc>
        <w:tc>
          <w:tcPr>
            <w:tcW w:w="391" w:type="dxa"/>
          </w:tcPr>
          <w:p w:rsidR="00773B8B" w:rsidRPr="002A1D4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92" w:type="dxa"/>
          </w:tcPr>
          <w:p w:rsidR="00773B8B" w:rsidRPr="002A1D4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</w:t>
            </w:r>
          </w:p>
          <w:p w:rsidR="00A16AB7" w:rsidRPr="002A1D40" w:rsidRDefault="00A16AB7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392" w:type="dxa"/>
            <w:gridSpan w:val="3"/>
          </w:tcPr>
          <w:p w:rsidR="00773B8B" w:rsidRPr="002A1D4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91" w:type="dxa"/>
            <w:gridSpan w:val="3"/>
          </w:tcPr>
          <w:p w:rsidR="00773B8B" w:rsidRPr="002A1D4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</w:t>
            </w:r>
          </w:p>
          <w:p w:rsidR="00A16AB7" w:rsidRPr="002A1D40" w:rsidRDefault="00A16AB7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392" w:type="dxa"/>
            <w:gridSpan w:val="2"/>
          </w:tcPr>
          <w:p w:rsidR="00773B8B" w:rsidRPr="002A1D4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92" w:type="dxa"/>
            <w:gridSpan w:val="2"/>
          </w:tcPr>
          <w:p w:rsidR="00773B8B" w:rsidRPr="002A1D4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060216788"/>
              </w:sdtPr>
              <w:sdtContent>
                <w:r w:rsidR="00A76EF2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19796202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NE</w:t>
            </w:r>
          </w:p>
        </w:tc>
      </w:tr>
      <w:tr w:rsidR="00773B8B" w:rsidRPr="002A1D40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773B8B" w:rsidRPr="002A1D40" w:rsidRDefault="00A16AB7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Petkom, 12.00-15.00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2A1D40" w:rsidRDefault="00A76EF2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Engleski</w:t>
            </w:r>
          </w:p>
        </w:tc>
      </w:tr>
      <w:tr w:rsidR="00773B8B" w:rsidRPr="002A1D40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773B8B" w:rsidRPr="002A1D4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773B8B" w:rsidRPr="002A1D40" w:rsidRDefault="00A16AB7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Upisan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IV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VI </w:t>
            </w:r>
            <w:r w:rsidR="00074B61">
              <w:rPr>
                <w:rFonts w:ascii="Times New Roman" w:hAnsi="Times New Roman" w:cs="Times New Roman"/>
                <w:sz w:val="20"/>
                <w:szCs w:val="20"/>
              </w:rPr>
              <w:t xml:space="preserve">semester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preddipl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proofErr w:type="spellEnd"/>
          </w:p>
        </w:tc>
      </w:tr>
      <w:tr w:rsidR="00773B8B" w:rsidRPr="002A1D40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7B25DE" w:rsidRPr="002A1D40" w:rsidRDefault="00E24D93" w:rsidP="007B2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B25DE" w:rsidRPr="002A1D40">
              <w:rPr>
                <w:rFonts w:ascii="Times New Roman" w:hAnsi="Times New Roman" w:cs="Times New Roman"/>
                <w:sz w:val="20"/>
                <w:szCs w:val="20"/>
              </w:rPr>
              <w:t>oc</w:t>
            </w: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25DE" w:rsidRPr="002A1D40">
              <w:rPr>
                <w:rFonts w:ascii="Times New Roman" w:hAnsi="Times New Roman" w:cs="Times New Roman"/>
                <w:sz w:val="20"/>
                <w:szCs w:val="20"/>
              </w:rPr>
              <w:t>drsc</w:t>
            </w:r>
            <w:proofErr w:type="spellEnd"/>
            <w:r w:rsidR="007B25DE"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25DE" w:rsidRPr="002A1D40">
              <w:rPr>
                <w:rFonts w:ascii="Times New Roman" w:hAnsi="Times New Roman" w:cs="Times New Roman"/>
                <w:sz w:val="20"/>
                <w:szCs w:val="20"/>
              </w:rPr>
              <w:t>Vesna</w:t>
            </w:r>
            <w:proofErr w:type="spellEnd"/>
            <w:r w:rsidR="007B25DE"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25DE" w:rsidRPr="002A1D40">
              <w:rPr>
                <w:rFonts w:ascii="Times New Roman" w:hAnsi="Times New Roman" w:cs="Times New Roman"/>
                <w:sz w:val="20"/>
                <w:szCs w:val="20"/>
              </w:rPr>
              <w:t>UkićKošta</w:t>
            </w:r>
            <w:proofErr w:type="spellEnd"/>
          </w:p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vukic@unizd.hr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2A1D40" w:rsidRDefault="00773B8B" w:rsidP="00A16A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2A1D40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2A1D40" w:rsidTr="00E405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370884770"/>
              </w:sdtPr>
              <w:sdtContent>
                <w:r w:rsidR="007B25DE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179322703"/>
              </w:sdtPr>
              <w:sdtContent>
                <w:r w:rsidR="007B25DE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970240896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76534076"/>
              </w:sdtPr>
              <w:sdtContent>
                <w:r w:rsidR="003F75DE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914774038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terenska nastava</w:t>
            </w:r>
          </w:p>
        </w:tc>
      </w:tr>
      <w:tr w:rsidR="00773B8B" w:rsidRPr="002A1D4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935869535"/>
              </w:sdtPr>
              <w:sdtContent>
                <w:r w:rsidR="002A1D40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411077478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2038265316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765682496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830755909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ostalo</w:t>
            </w:r>
          </w:p>
        </w:tc>
      </w:tr>
      <w:tr w:rsidR="00773B8B" w:rsidRPr="002A1D40" w:rsidTr="00E4057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9F7D03" w:rsidRDefault="009F7D03" w:rsidP="009F7D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sposobnost</w:t>
            </w:r>
            <w:proofErr w:type="spellEnd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kritičke</w:t>
            </w:r>
            <w:proofErr w:type="spellEnd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argumentacije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kritičkog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7D03" w:rsidRPr="005B3E4B" w:rsidRDefault="009F7D03" w:rsidP="009F7D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razvijanje</w:t>
            </w:r>
            <w:proofErr w:type="spellEnd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samostalnosti</w:t>
            </w:r>
            <w:proofErr w:type="spellEnd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slobode</w:t>
            </w:r>
            <w:proofErr w:type="spellEnd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izražavanja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7D03" w:rsidRPr="006C7385" w:rsidRDefault="009F7D03" w:rsidP="009F7D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posobnost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samostalnog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intelektualnoj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temi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istraživačkom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problem;</w:t>
            </w:r>
          </w:p>
          <w:p w:rsidR="00773B8B" w:rsidRPr="002A1D40" w:rsidRDefault="009F7D03" w:rsidP="009F7D0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sposobnost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kontekstualiziranja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sekundarnih</w:t>
            </w:r>
            <w:proofErr w:type="spellEnd"/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referentnih</w:t>
            </w:r>
            <w:proofErr w:type="spellEnd"/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naslova</w:t>
            </w:r>
            <w:proofErr w:type="spellEnd"/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analize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književnog</w:t>
            </w:r>
            <w:proofErr w:type="spellEnd"/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teksta</w:t>
            </w:r>
            <w:proofErr w:type="spellEnd"/>
          </w:p>
        </w:tc>
      </w:tr>
      <w:tr w:rsidR="00773B8B" w:rsidRPr="002A1D40" w:rsidTr="00E4057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73B8B" w:rsidRPr="009F7D03" w:rsidRDefault="009F7D03" w:rsidP="009F7D03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koristiti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analizi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književnog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teksta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ključne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koncepte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pristupe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suvremene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književne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teorije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;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upotrebljavati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interdisciplinarne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pristupe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čitanju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književnog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teksta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;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primijenjivati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kritičke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pristupe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argumentiranju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;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koristiti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znanstvene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metode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tijekom</w:t>
            </w:r>
            <w:proofErr w:type="spellEnd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7D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istraživanja</w:t>
            </w:r>
            <w:proofErr w:type="spellEnd"/>
          </w:p>
        </w:tc>
      </w:tr>
      <w:tr w:rsidR="00773B8B" w:rsidRPr="002A1D40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2A1D40" w:rsidTr="00E4057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55562244"/>
              </w:sdtPr>
              <w:sdtContent>
                <w:r w:rsidR="007B25DE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960602510"/>
              </w:sdtPr>
              <w:sdtContent>
                <w:r w:rsidR="007B25DE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46264378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209112354"/>
              </w:sdtPr>
              <w:sdtContent>
                <w:r w:rsidR="007B25DE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430641341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istraživanje</w:t>
            </w:r>
          </w:p>
        </w:tc>
      </w:tr>
      <w:tr w:rsidR="00773B8B" w:rsidRPr="002A1D40" w:rsidTr="00E405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841123809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833038643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046405765"/>
              </w:sdtPr>
              <w:sdtContent>
                <w:r w:rsidR="00A16AB7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786770044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747874460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seminar</w:t>
            </w:r>
          </w:p>
        </w:tc>
      </w:tr>
      <w:tr w:rsidR="00773B8B" w:rsidRPr="002A1D40" w:rsidTr="00E405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2123502024"/>
              </w:sdtPr>
              <w:sdtContent>
                <w:r w:rsidR="00A16AB7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644748056"/>
              </w:sdtPr>
              <w:sdtContent>
                <w:r w:rsidR="003F75DE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11010417"/>
              </w:sdtPr>
              <w:sdtContent>
                <w:r w:rsidR="00A16AB7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70292690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ostalo: 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773B8B" w:rsidRPr="002A1D40" w:rsidRDefault="00A16AB7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Studenti moraju održati seminarsku prezentaciju i položiti pismeni ispit (esejnog tipa) kako bi pristupili završnom usmenom ispitu.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74301983"/>
              </w:sdtPr>
              <w:sdtContent>
                <w:r w:rsidR="00BD45AF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100601738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44519774"/>
              </w:sdtPr>
              <w:sdtContent>
                <w:r w:rsidR="00BD45AF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jesenski ispitni rok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773B8B" w:rsidRPr="002A1D40" w:rsidRDefault="00A16AB7" w:rsidP="009B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Ovaj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kolegij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sagledava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britanski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roman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druge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pol</w:t>
            </w:r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>ovice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20.st.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ponajviše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iz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perspective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postmodernizma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postkolonijalizma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feminizma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kulturalnih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studija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fokusirana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jreprezentativnije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prozne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tekstove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napisane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nakon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2.svjetskog rata pa do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kraja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20.st.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Kolegij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će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također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osvrnuti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je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li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pojam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britanski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roman“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danas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još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uvijek</w:t>
            </w:r>
            <w:proofErr w:type="spellEnd"/>
            <w:r w:rsidR="009B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održivi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concept </w:t>
            </w:r>
            <w:proofErr w:type="spellStart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primjere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uzeti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autore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autorice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uz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koje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obično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>vezuje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>mikro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spellStart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>nacionalni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identitet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(English, Scottish, Welsh,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itd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.) </w:t>
            </w:r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umnogome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složeniji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heterogeniji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hibridni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britanski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identitet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koji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nastaje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 2.polovici 20.st.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kao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posljedica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migracija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iz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nekadašnjih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britanskih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kolonija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stvaranja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dijaspore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npr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black British, black Scottish, British-Indian).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Čitat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ćemo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odabrane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romane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Orwella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M. Spark, J.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Fowlesa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J. Rhys, S.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Rushdiea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A.S.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Byatt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I.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McEwana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Ishigura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, J</w:t>
            </w:r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Kay, A. </w:t>
            </w:r>
            <w:proofErr w:type="spellStart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>Graya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>, J. Galloway, H.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Kureishia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J.M. Coetzee </w:t>
            </w:r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drugih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njihova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djela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primjenjivat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relevantne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teorijske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kritičke</w:t>
            </w:r>
            <w:proofErr w:type="spellEnd"/>
            <w:r w:rsid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tekstove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 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A16AB7" w:rsidRPr="002A1D40" w:rsidRDefault="00A16AB7" w:rsidP="00A16AB7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1) </w:t>
            </w: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Course overview / theoretical approaches to the selected texts; topics for seminar presentations / primary and secondary bibliography</w:t>
            </w:r>
          </w:p>
          <w:p w:rsidR="00A16AB7" w:rsidRPr="002A1D40" w:rsidRDefault="00A16AB7" w:rsidP="00A16AB7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2)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Contexts: history, politics, culture / issues of social class, gender identity, the changing role of women, sexuality, multicultural experience, hybrid identity in British society in the 2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nd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half of the 20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century</w:t>
            </w:r>
          </w:p>
          <w:p w:rsidR="00A16AB7" w:rsidRPr="002A1D40" w:rsidRDefault="00A16AB7" w:rsidP="00A16AB7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3)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Post-war fiction / ‘literary pessimism’ / issues of national decline and problematics of Englishness / George Orwell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Animal Farm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(1945)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1984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(1949)</w:t>
            </w:r>
          </w:p>
          <w:p w:rsidR="00A16AB7" w:rsidRPr="002A1D40" w:rsidRDefault="00A16AB7" w:rsidP="00A16AB7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4)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Issues of protest and class in the fifties / culture of ‘Anger’ / trend towards social fiction / rejection of modernism / campus (academic) novel</w:t>
            </w:r>
          </w:p>
          <w:p w:rsidR="00A16AB7" w:rsidRPr="002A1D40" w:rsidRDefault="00A16AB7" w:rsidP="00A16AB7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5)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Postmodernist fiction in the British context / history/histories in the postmodern novel / issues of self-referential narrative / historiographic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metafictions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John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Fowles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The French </w:t>
            </w:r>
            <w:proofErr w:type="spellStart"/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Lieutentant’s</w:t>
            </w:r>
            <w:proofErr w:type="spellEnd"/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Woman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(1969)   </w:t>
            </w:r>
          </w:p>
          <w:p w:rsidR="00A16AB7" w:rsidRPr="002A1D40" w:rsidRDefault="00A16AB7" w:rsidP="00A16AB7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6)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Film screening;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The French </w:t>
            </w:r>
            <w:proofErr w:type="spellStart"/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Lieutentant’s</w:t>
            </w:r>
            <w:proofErr w:type="spellEnd"/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Woman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(Meryl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Streep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, Jeremy Irons, 1981)</w:t>
            </w:r>
          </w:p>
          <w:p w:rsidR="00A16AB7" w:rsidRPr="002A1D40" w:rsidRDefault="00A16AB7" w:rsidP="00A16A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7)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British fiction since the seventies /  ‘The Empire strikes back’/ multi-ethnic voices and identities in and outside the UK / issues of gender, sexual identity and cultural politics</w:t>
            </w:r>
          </w:p>
          <w:p w:rsidR="00A16AB7" w:rsidRPr="00D55392" w:rsidRDefault="00A16AB7" w:rsidP="00A16A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D553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8) </w:t>
            </w:r>
            <w:r w:rsidRPr="00D55392">
              <w:rPr>
                <w:rFonts w:ascii="Times New Roman" w:eastAsia="Calibri" w:hAnsi="Times New Roman" w:cs="Times New Roman"/>
                <w:sz w:val="20"/>
                <w:szCs w:val="20"/>
              </w:rPr>
              <w:t>Theorists and theories of postcolonial literature</w:t>
            </w:r>
          </w:p>
          <w:p w:rsidR="00A16AB7" w:rsidRPr="00D55392" w:rsidRDefault="00D55392" w:rsidP="00A16AB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3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9</w:t>
            </w:r>
            <w:r w:rsidR="00A16AB7" w:rsidRPr="00D553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="00A16AB7" w:rsidRPr="00D55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Film screening; </w:t>
            </w:r>
            <w:r w:rsidR="00A16AB7" w:rsidRPr="00D553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My Beautiful </w:t>
            </w:r>
            <w:proofErr w:type="spellStart"/>
            <w:r w:rsidR="00A16AB7" w:rsidRPr="00D553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Laundrette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A16AB7" w:rsidRPr="00D55392">
              <w:rPr>
                <w:rFonts w:ascii="Times New Roman" w:eastAsia="Calibri" w:hAnsi="Times New Roman" w:cs="Times New Roman"/>
                <w:sz w:val="20"/>
                <w:szCs w:val="20"/>
              </w:rPr>
              <w:t>( 1985)</w:t>
            </w:r>
          </w:p>
          <w:p w:rsidR="00A16AB7" w:rsidRPr="002A1D40" w:rsidRDefault="00D55392" w:rsidP="00A16A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D553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10</w:t>
            </w:r>
            <w:r w:rsidR="00A16AB7" w:rsidRPr="00D553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="00A16AB7" w:rsidRPr="00D55392">
              <w:rPr>
                <w:rFonts w:ascii="Times New Roman" w:eastAsia="Calibri" w:hAnsi="Times New Roman" w:cs="Times New Roman"/>
                <w:sz w:val="20"/>
                <w:szCs w:val="20"/>
              </w:rPr>
              <w:t>Modern</w:t>
            </w:r>
            <w:r w:rsidR="00A16AB7"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Scottish novel; postmodernism in contemporary Scottish fiction; hybrid Scottish identity; deconstruction of ‘British’ identity</w:t>
            </w:r>
          </w:p>
          <w:p w:rsidR="00A16AB7" w:rsidRPr="002A1D40" w:rsidRDefault="00D55392" w:rsidP="00A16A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11</w:t>
            </w:r>
            <w:r w:rsidR="00A16AB7"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="00A16AB7"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British cultural studies; theorists and theories</w:t>
            </w:r>
          </w:p>
          <w:p w:rsidR="00A16AB7" w:rsidRPr="002A1D40" w:rsidRDefault="00D55392" w:rsidP="00A16A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12</w:t>
            </w:r>
            <w:r w:rsidR="00A16AB7"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="00A16AB7"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‘Cool Britannia’; fiction in the nineties; gay writing; return to history</w:t>
            </w:r>
          </w:p>
          <w:p w:rsidR="00A16AB7" w:rsidRPr="002A1D40" w:rsidRDefault="00D55392" w:rsidP="00A16A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13</w:t>
            </w:r>
            <w:r w:rsidR="00A16AB7"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="00A16AB7"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(Sub)urban realism; sex, drugs and </w:t>
            </w:r>
            <w:proofErr w:type="spellStart"/>
            <w:r w:rsidR="00A16AB7"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rock’n’roll</w:t>
            </w:r>
            <w:proofErr w:type="spellEnd"/>
            <w:r w:rsidR="00A16AB7"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contemporary British fiction</w:t>
            </w:r>
          </w:p>
          <w:p w:rsidR="00A16AB7" w:rsidRPr="002A1D40" w:rsidRDefault="00D55392" w:rsidP="00A16A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14</w:t>
            </w:r>
            <w:r w:rsidR="00A16AB7"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="00A16AB7"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Turn of the 21</w:t>
            </w:r>
            <w:r w:rsidR="00A16AB7" w:rsidRPr="002A1D4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st</w:t>
            </w:r>
            <w:r w:rsidR="00A16AB7"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century; new trends and voices in the contemporary British novel</w:t>
            </w:r>
          </w:p>
          <w:p w:rsidR="00A16AB7" w:rsidRPr="002A1D40" w:rsidRDefault="00A16AB7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15)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End-term exam (essay)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A16AB7" w:rsidRPr="00074B61" w:rsidRDefault="00024D60" w:rsidP="0007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B61">
              <w:rPr>
                <w:rFonts w:ascii="Times New Roman" w:hAnsi="Times New Roman" w:cs="Times New Roman"/>
                <w:sz w:val="20"/>
                <w:szCs w:val="20"/>
              </w:rPr>
              <w:t>Lista</w:t>
            </w:r>
            <w:proofErr w:type="spellEnd"/>
            <w:r w:rsidR="00074B61" w:rsidRPr="00074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AB7" w:rsidRPr="00074B61">
              <w:rPr>
                <w:rFonts w:ascii="Times New Roman" w:hAnsi="Times New Roman" w:cs="Times New Roman"/>
                <w:sz w:val="20"/>
                <w:szCs w:val="20"/>
              </w:rPr>
              <w:t>odabranih</w:t>
            </w:r>
            <w:proofErr w:type="spellEnd"/>
            <w:r w:rsidR="00A16AB7" w:rsidRPr="00074B61">
              <w:rPr>
                <w:rFonts w:ascii="Times New Roman" w:hAnsi="Times New Roman" w:cs="Times New Roman"/>
                <w:sz w:val="20"/>
                <w:szCs w:val="20"/>
              </w:rPr>
              <w:t xml:space="preserve"> roman (</w:t>
            </w:r>
            <w:r w:rsidR="00A16AB7" w:rsidRPr="00074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reading </w:t>
            </w:r>
            <w:proofErr w:type="spellStart"/>
            <w:r w:rsidR="00A16AB7" w:rsidRPr="00074B61">
              <w:rPr>
                <w:rFonts w:ascii="Times New Roman" w:hAnsi="Times New Roman" w:cs="Times New Roman"/>
                <w:i/>
                <w:sz w:val="20"/>
                <w:szCs w:val="20"/>
              </w:rPr>
              <w:t>listu</w:t>
            </w:r>
            <w:proofErr w:type="spellEnd"/>
            <w:r w:rsidR="00A16AB7" w:rsidRPr="00074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AB7" w:rsidRPr="00074B61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="00074B61" w:rsidRPr="00074B6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A16AB7" w:rsidRPr="00074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AB7" w:rsidRPr="00074B61">
              <w:rPr>
                <w:rFonts w:ascii="Times New Roman" w:hAnsi="Times New Roman" w:cs="Times New Roman"/>
                <w:sz w:val="20"/>
                <w:szCs w:val="20"/>
              </w:rPr>
              <w:t>dobivaju</w:t>
            </w:r>
            <w:proofErr w:type="spellEnd"/>
            <w:r w:rsidR="00074B61" w:rsidRPr="00074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AB7" w:rsidRPr="00074B6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="00074B61" w:rsidRPr="00074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AB7" w:rsidRPr="00074B61">
              <w:rPr>
                <w:rFonts w:ascii="Times New Roman" w:hAnsi="Times New Roman" w:cs="Times New Roman"/>
                <w:sz w:val="20"/>
                <w:szCs w:val="20"/>
              </w:rPr>
              <w:t>početku</w:t>
            </w:r>
            <w:proofErr w:type="spellEnd"/>
            <w:r w:rsidR="00074B61" w:rsidRPr="00074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AB7" w:rsidRPr="00074B61">
              <w:rPr>
                <w:rFonts w:ascii="Times New Roman" w:hAnsi="Times New Roman" w:cs="Times New Roman"/>
                <w:sz w:val="20"/>
                <w:szCs w:val="20"/>
              </w:rPr>
              <w:t>semestra</w:t>
            </w:r>
            <w:proofErr w:type="spellEnd"/>
            <w:r w:rsidR="00A16AB7" w:rsidRPr="00074B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6AB7" w:rsidRPr="002A1D40" w:rsidRDefault="00A16AB7" w:rsidP="00A16AB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B7" w:rsidRPr="002A1D40" w:rsidRDefault="00A16AB7" w:rsidP="00A16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radbury, M.,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The Modern British Novel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, London: Penguin Books, 1994 (selected chapters)</w:t>
            </w:r>
          </w:p>
          <w:p w:rsidR="00A16AB7" w:rsidRPr="002A1D40" w:rsidRDefault="00A16AB7" w:rsidP="00A16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Butler, C.,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Postmodernism; A Very Short Introduction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, Oxford, Oxford University Press, 2002</w:t>
            </w:r>
          </w:p>
          <w:p w:rsidR="00A16AB7" w:rsidRPr="002A1D40" w:rsidRDefault="00A16AB7" w:rsidP="00A16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Head, D., </w:t>
            </w:r>
            <w:r w:rsidRPr="002A1D40">
              <w:rPr>
                <w:rFonts w:ascii="Times New Roman" w:hAnsi="Times New Roman" w:cs="Times New Roman"/>
                <w:i/>
                <w:sz w:val="20"/>
                <w:szCs w:val="20"/>
              </w:rPr>
              <w:t>The Cambridge Introduction to</w:t>
            </w:r>
            <w:r w:rsidRPr="002A1D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Modern British Fiction: 1950-2000</w:t>
            </w: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. Cambridge: Cambridge University Press, 2004 (selected chapters)</w:t>
            </w:r>
          </w:p>
          <w:p w:rsidR="00A16AB7" w:rsidRPr="002A1D40" w:rsidRDefault="00A16AB7" w:rsidP="00A16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Padley, S.,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Key Concepts in Contemporary Literature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, Basingstoke, Palgrave Macmillan, 2006. (selected chapters)</w:t>
            </w:r>
          </w:p>
          <w:p w:rsidR="00773B8B" w:rsidRPr="002A1D40" w:rsidRDefault="00A16AB7" w:rsidP="00A16AB7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Waugh, P., </w:t>
            </w:r>
            <w:r w:rsidRPr="002A1D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Metafiction; the Theory and Practice of Self-consciousFiction, </w:t>
            </w: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London, New York: Routledge, 2003. (selected chapters)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37167" w:rsidRPr="002A1D40" w:rsidRDefault="00137167" w:rsidP="001371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Boehmer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E.,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Colonial and Postcolonial Literature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Oxford, Oxford University Press, 2005 (selected chapters) </w:t>
            </w:r>
          </w:p>
          <w:p w:rsidR="00137167" w:rsidRPr="002A1D40" w:rsidRDefault="00137167" w:rsidP="001371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Clingman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S.,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The Grammar of Identity,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Oxford, Oxford University Press, 2012 (selected chapters)</w:t>
            </w:r>
          </w:p>
          <w:p w:rsidR="00137167" w:rsidRPr="002A1D40" w:rsidRDefault="00137167" w:rsidP="001371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Higgins, M., C.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Smith&amp;J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Storey (eds.),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Modern British Culture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, Cambridge: Cambridge University Press, 2010 (selected chapters)</w:t>
            </w:r>
          </w:p>
          <w:p w:rsidR="00137167" w:rsidRPr="002A1D40" w:rsidRDefault="00137167" w:rsidP="001371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Luckhurst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, R., P. Marks (eds.), </w:t>
            </w:r>
            <w:r w:rsidRPr="002A1D40">
              <w:rPr>
                <w:rFonts w:ascii="Times New Roman" w:hAnsi="Times New Roman" w:cs="Times New Roman"/>
                <w:i/>
                <w:sz w:val="20"/>
                <w:szCs w:val="20"/>
              </w:rPr>
              <w:t>Literature and the Contemporary</w:t>
            </w: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, Harlow, Essex: Longman, 1999 (selected chapters)</w:t>
            </w:r>
          </w:p>
          <w:p w:rsidR="00137167" w:rsidRPr="002A1D40" w:rsidRDefault="00137167" w:rsidP="001371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Shaffer, W. B. (ed.),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 Companion to the British and Irish Novel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, Blackwell, 2007 (selected chapters)</w:t>
            </w:r>
          </w:p>
          <w:p w:rsidR="00773B8B" w:rsidRPr="002A1D40" w:rsidRDefault="00137167" w:rsidP="00137167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Wells, L.,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Allegories of Telling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Amsterdam, New York: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Rodopi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, 2003. (selected chapters)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73B8B" w:rsidRPr="002A1D40" w:rsidRDefault="003F75DE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25ED5" w:rsidRPr="002A1D40">
              <w:rPr>
                <w:rFonts w:ascii="Times New Roman" w:hAnsi="Times New Roman" w:cs="Times New Roman"/>
                <w:sz w:val="20"/>
                <w:szCs w:val="20"/>
              </w:rPr>
              <w:t>vidostupni</w:t>
            </w:r>
            <w:proofErr w:type="spellEnd"/>
            <w:r w:rsidR="00625ED5"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web-</w:t>
            </w:r>
            <w:proofErr w:type="spellStart"/>
            <w:r w:rsidR="00625ED5" w:rsidRPr="002A1D40">
              <w:rPr>
                <w:rFonts w:ascii="Times New Roman" w:hAnsi="Times New Roman" w:cs="Times New Roman"/>
                <w:sz w:val="20"/>
                <w:szCs w:val="20"/>
              </w:rPr>
              <w:t>izvori</w:t>
            </w:r>
            <w:proofErr w:type="spellEnd"/>
          </w:p>
        </w:tc>
      </w:tr>
      <w:tr w:rsidR="00773B8B" w:rsidRPr="002A1D40" w:rsidTr="00E405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2A1D4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73B8B" w:rsidRPr="002A1D40" w:rsidRDefault="00EF6E99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494151214"/>
              </w:sdtPr>
              <w:sdtContent>
                <w:r w:rsidR="003F75DE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završni</w:t>
            </w:r>
          </w:p>
          <w:p w:rsidR="00773B8B" w:rsidRPr="002A1D40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73B8B" w:rsidRPr="002A1D40" w:rsidRDefault="00EF6E99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982771434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završni</w:t>
            </w:r>
          </w:p>
          <w:p w:rsidR="00773B8B" w:rsidRPr="002A1D40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73B8B" w:rsidRPr="00074B61" w:rsidRDefault="00EF6E99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620144678"/>
              </w:sdtPr>
              <w:sdtContent>
                <w:r w:rsidR="00625ED5" w:rsidRPr="00074B6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074B61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73B8B" w:rsidRPr="002A1D40" w:rsidRDefault="00EF6E99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301262425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praktični rad i završni ispit</w:t>
            </w:r>
          </w:p>
        </w:tc>
      </w:tr>
      <w:tr w:rsidR="00773B8B" w:rsidRPr="002A1D4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73B8B" w:rsidRPr="002A1D40" w:rsidRDefault="00EF6E99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485928399"/>
              </w:sdtPr>
              <w:sdtContent>
                <w:r w:rsidR="002A1D40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73B8B" w:rsidRPr="002A1D40" w:rsidRDefault="00EF6E99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316388975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73B8B" w:rsidRPr="002A1D40" w:rsidRDefault="00EF6E99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800808325"/>
              </w:sdtPr>
              <w:sdtContent>
                <w:r w:rsidR="002A1D40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seminarski</w:t>
            </w:r>
          </w:p>
          <w:p w:rsidR="00773B8B" w:rsidRPr="002A1D40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73B8B" w:rsidRPr="002A1D40" w:rsidRDefault="00EF6E99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967551978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seminarski</w:t>
            </w:r>
          </w:p>
          <w:p w:rsidR="00773B8B" w:rsidRPr="002A1D40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73B8B" w:rsidRPr="002A1D40" w:rsidRDefault="00EF6E99" w:rsidP="00773B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448435123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73B8B" w:rsidRPr="00074B61" w:rsidRDefault="00EF6E99" w:rsidP="00773B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88865112"/>
              </w:sdtPr>
              <w:sdtContent>
                <w:r w:rsidR="00625ED5" w:rsidRPr="00074B6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074B61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drugi oblici</w:t>
            </w:r>
            <w:r w:rsidR="00625ED5" w:rsidRPr="00074B61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: seminarska prezentacija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625ED5" w:rsidRPr="002A1D40" w:rsidRDefault="00625ED5" w:rsidP="00625E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50%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pismeniiusmenizavršniispit</w:t>
            </w:r>
            <w:proofErr w:type="spellEnd"/>
          </w:p>
          <w:p w:rsidR="00625ED5" w:rsidRPr="002A1D40" w:rsidRDefault="00625ED5" w:rsidP="00625E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30%: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seminarskaprezentacija</w:t>
            </w:r>
            <w:proofErr w:type="spellEnd"/>
          </w:p>
          <w:p w:rsidR="00773B8B" w:rsidRPr="002A1D40" w:rsidRDefault="00625ED5" w:rsidP="00625E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highlight w:val="cyan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20%: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redovitidolasciiaktivnosudjelovanje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seminarskimdiskusijama</w:t>
            </w:r>
            <w:proofErr w:type="spellEnd"/>
          </w:p>
        </w:tc>
      </w:tr>
      <w:tr w:rsidR="00773B8B" w:rsidRPr="002A1D40" w:rsidTr="00E4057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Ocjenjivanje </w:t>
            </w:r>
          </w:p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73B8B" w:rsidRPr="002A1D40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ispod 60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nedovoljan (1)</w:t>
            </w:r>
          </w:p>
        </w:tc>
      </w:tr>
      <w:tr w:rsidR="00773B8B" w:rsidRPr="002A1D4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2A1D40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dovoljan (2)</w:t>
            </w:r>
          </w:p>
        </w:tc>
      </w:tr>
      <w:tr w:rsidR="00773B8B" w:rsidRPr="002A1D4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2A1D40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dobar (3)</w:t>
            </w:r>
          </w:p>
        </w:tc>
      </w:tr>
      <w:tr w:rsidR="00773B8B" w:rsidRPr="002A1D4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2A1D40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vrlo dobar (4)</w:t>
            </w:r>
          </w:p>
        </w:tc>
      </w:tr>
      <w:tr w:rsidR="00773B8B" w:rsidRPr="002A1D4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2A1D40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izvrstan (5)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153876494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studentska evaluacija nastave na razini Sveučilišta </w:t>
            </w:r>
          </w:p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91722498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studentska evaluacija nastave na razini sastavnice</w:t>
            </w:r>
          </w:p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133704654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interna evaluacija nastave </w:t>
            </w:r>
          </w:p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378395116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tematske sjednice stručnih vijeća sastavnica o kvaliteti nastave i rezultatima studentske ankete</w:t>
            </w:r>
          </w:p>
          <w:p w:rsidR="00773B8B" w:rsidRPr="002A1D40" w:rsidRDefault="00EF6E9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290516747"/>
              </w:sdtPr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ostalo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Sukladno čl. 6. </w:t>
            </w:r>
            <w:r w:rsidRPr="002A1D40">
              <w:rPr>
                <w:rFonts w:ascii="Times New Roman" w:eastAsia="MS Gothic" w:hAnsi="Times New Roman" w:cs="Times New Roman"/>
                <w:i/>
                <w:sz w:val="20"/>
                <w:szCs w:val="20"/>
                <w:lang w:val="hr-HR"/>
              </w:rPr>
              <w:t>Etičkog kodeksa</w:t>
            </w: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Prema čl. 14. </w:t>
            </w:r>
            <w:r w:rsidRPr="002A1D40">
              <w:rPr>
                <w:rFonts w:ascii="Times New Roman" w:eastAsia="MS Gothic" w:hAnsi="Times New Roman" w:cs="Times New Roman"/>
                <w:i/>
                <w:sz w:val="20"/>
                <w:szCs w:val="20"/>
                <w:lang w:val="hr-HR"/>
              </w:rPr>
              <w:t>Etičkog kodeksa</w:t>
            </w: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Etički je nedopušten svaki čin koji predstavlja povrjedu akademskog poštenja. To </w:t>
            </w: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lastRenderedPageBreak/>
              <w:t xml:space="preserve">uključuje, ali se ne ograničava samo na: </w:t>
            </w:r>
          </w:p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2A1D40">
                <w:rPr>
                  <w:rFonts w:ascii="Times New Roman" w:eastAsia="MS Gothic" w:hAnsi="Times New Roman" w:cs="Times New Roman"/>
                  <w:i/>
                  <w:sz w:val="20"/>
                  <w:szCs w:val="20"/>
                  <w:u w:val="single"/>
                  <w:lang w:val="hr-HR"/>
                </w:rPr>
                <w:t>Pravilnik o stegovnoj odgovornosti studenata/studentica Sveučilišta u Zadru</w:t>
              </w:r>
            </w:hyperlink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>.</w:t>
            </w:r>
          </w:p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73B8B" w:rsidRPr="002A1D40" w:rsidRDefault="00773B8B" w:rsidP="00773B8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0421A8" w:rsidRPr="002A1D40" w:rsidRDefault="00CB1AA0">
      <w:pPr>
        <w:rPr>
          <w:rFonts w:ascii="Times New Roman" w:hAnsi="Times New Roman" w:cs="Times New Roman"/>
          <w:sz w:val="20"/>
          <w:szCs w:val="20"/>
        </w:rPr>
      </w:pPr>
    </w:p>
    <w:sectPr w:rsidR="000421A8" w:rsidRPr="002A1D40" w:rsidSect="00EF6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B8B" w:rsidRDefault="00773B8B" w:rsidP="00773B8B">
      <w:pPr>
        <w:spacing w:after="0" w:line="240" w:lineRule="auto"/>
      </w:pPr>
      <w:r>
        <w:separator/>
      </w:r>
    </w:p>
  </w:endnote>
  <w:endnote w:type="continuationSeparator" w:id="1">
    <w:p w:rsidR="00773B8B" w:rsidRDefault="00773B8B" w:rsidP="007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B8B" w:rsidRDefault="00773B8B" w:rsidP="00773B8B">
      <w:pPr>
        <w:spacing w:after="0" w:line="240" w:lineRule="auto"/>
      </w:pPr>
      <w:r>
        <w:separator/>
      </w:r>
    </w:p>
  </w:footnote>
  <w:footnote w:type="continuationSeparator" w:id="1">
    <w:p w:rsidR="00773B8B" w:rsidRDefault="00773B8B" w:rsidP="00773B8B">
      <w:pPr>
        <w:spacing w:after="0" w:line="240" w:lineRule="auto"/>
      </w:pPr>
      <w:r>
        <w:continuationSeparator/>
      </w:r>
    </w:p>
  </w:footnote>
  <w:footnote w:id="2">
    <w:p w:rsidR="00773B8B" w:rsidRDefault="00773B8B" w:rsidP="00773B8B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EF6E99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hr-HR" w:eastAsia="hr-HR"/>
      </w:rPr>
      <w:pict>
        <v:rect id="Rectangle 2" o:spid="_x0000_s2049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73B8B" w:rsidP="0079745E">
                <w:r>
                  <w:rPr>
                    <w:noProof/>
                    <w:lang w:val="hr-HR"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73B8B" w:rsidRPr="001B3A0D">
      <w:rPr>
        <w:rFonts w:ascii="Georgia" w:hAnsi="Georgia"/>
        <w:sz w:val="22"/>
      </w:rPr>
      <w:t>SVEUČILIŠTE U ZADRU</w:t>
    </w:r>
    <w:r w:rsidR="00773B8B" w:rsidRPr="001B3A0D">
      <w:rPr>
        <w:rFonts w:ascii="Georgia" w:hAnsi="Georgia"/>
        <w:sz w:val="22"/>
      </w:rPr>
      <w:tab/>
    </w:r>
    <w:r w:rsidR="00773B8B" w:rsidRPr="001B3A0D">
      <w:rPr>
        <w:rFonts w:ascii="Georgia" w:hAnsi="Georgia"/>
        <w:sz w:val="22"/>
      </w:rPr>
      <w:tab/>
    </w:r>
  </w:p>
  <w:p w:rsidR="0079745E" w:rsidRPr="001B3A0D" w:rsidRDefault="00773B8B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73B8B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proofErr w:type="spellStart"/>
    <w:r>
      <w:rPr>
        <w:rFonts w:ascii="Georgia" w:hAnsi="Georgia"/>
        <w:sz w:val="18"/>
        <w:szCs w:val="20"/>
      </w:rPr>
      <w:t>Obrazac</w:t>
    </w:r>
    <w:proofErr w:type="spellEnd"/>
    <w:r>
      <w:rPr>
        <w:rFonts w:ascii="Georgia" w:hAnsi="Georgia"/>
        <w:sz w:val="18"/>
        <w:szCs w:val="20"/>
      </w:rPr>
      <w:t xml:space="preserve"> 1.3.2. </w:t>
    </w:r>
    <w:proofErr w:type="spellStart"/>
    <w:r>
      <w:rPr>
        <w:rFonts w:ascii="Georgia" w:hAnsi="Georgia"/>
        <w:sz w:val="18"/>
        <w:szCs w:val="20"/>
      </w:rPr>
      <w:t>Izvedbeni</w:t>
    </w:r>
    <w:proofErr w:type="spellEnd"/>
    <w:r>
      <w:rPr>
        <w:rFonts w:ascii="Georgia" w:hAnsi="Georgia"/>
        <w:sz w:val="18"/>
        <w:szCs w:val="20"/>
      </w:rPr>
      <w:t xml:space="preserve"> plan </w:t>
    </w:r>
    <w:proofErr w:type="spellStart"/>
    <w:r>
      <w:rPr>
        <w:rFonts w:ascii="Georgia" w:hAnsi="Georgia"/>
        <w:sz w:val="18"/>
        <w:szCs w:val="20"/>
      </w:rPr>
      <w:t>nastave</w:t>
    </w:r>
    <w:proofErr w:type="spellEnd"/>
    <w:r>
      <w:rPr>
        <w:rFonts w:ascii="Georgia" w:hAnsi="Georgia"/>
        <w:sz w:val="18"/>
        <w:szCs w:val="20"/>
      </w:rPr>
      <w:t xml:space="preserve">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CB1AA0" w:rsidP="0079745E">
    <w:pPr>
      <w:pStyle w:val="Header"/>
    </w:pPr>
  </w:p>
  <w:p w:rsidR="0079745E" w:rsidRDefault="00CB1A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5E76"/>
    <w:multiLevelType w:val="hybridMultilevel"/>
    <w:tmpl w:val="010EB2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06763"/>
    <w:multiLevelType w:val="hybridMultilevel"/>
    <w:tmpl w:val="AFE45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6AB"/>
    <w:multiLevelType w:val="hybridMultilevel"/>
    <w:tmpl w:val="F918CE56"/>
    <w:lvl w:ilvl="0" w:tplc="8AC8919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3B8B"/>
    <w:rsid w:val="00011829"/>
    <w:rsid w:val="00024D60"/>
    <w:rsid w:val="00074B61"/>
    <w:rsid w:val="00137167"/>
    <w:rsid w:val="00167B86"/>
    <w:rsid w:val="0028498E"/>
    <w:rsid w:val="002A1D40"/>
    <w:rsid w:val="003803DA"/>
    <w:rsid w:val="003F75DE"/>
    <w:rsid w:val="00441DF0"/>
    <w:rsid w:val="0046024E"/>
    <w:rsid w:val="004D661C"/>
    <w:rsid w:val="004E1E71"/>
    <w:rsid w:val="005C4A6C"/>
    <w:rsid w:val="005E7B88"/>
    <w:rsid w:val="00615CB5"/>
    <w:rsid w:val="00625ED5"/>
    <w:rsid w:val="00717137"/>
    <w:rsid w:val="00773B8B"/>
    <w:rsid w:val="007B25DE"/>
    <w:rsid w:val="00826B9C"/>
    <w:rsid w:val="008748C7"/>
    <w:rsid w:val="0097783E"/>
    <w:rsid w:val="00986938"/>
    <w:rsid w:val="009B1FC4"/>
    <w:rsid w:val="009E16A1"/>
    <w:rsid w:val="009F7D03"/>
    <w:rsid w:val="00A16AB7"/>
    <w:rsid w:val="00A568E3"/>
    <w:rsid w:val="00A72592"/>
    <w:rsid w:val="00A76EF2"/>
    <w:rsid w:val="00AB577E"/>
    <w:rsid w:val="00AC308F"/>
    <w:rsid w:val="00AF66EA"/>
    <w:rsid w:val="00B84D9C"/>
    <w:rsid w:val="00BD45AF"/>
    <w:rsid w:val="00BF1BA7"/>
    <w:rsid w:val="00C0774C"/>
    <w:rsid w:val="00C24286"/>
    <w:rsid w:val="00CA13D1"/>
    <w:rsid w:val="00CB1AA0"/>
    <w:rsid w:val="00CE4D78"/>
    <w:rsid w:val="00D55392"/>
    <w:rsid w:val="00E01B5A"/>
    <w:rsid w:val="00E24D93"/>
    <w:rsid w:val="00EF6E99"/>
    <w:rsid w:val="00F02A7C"/>
    <w:rsid w:val="00F355DF"/>
    <w:rsid w:val="00F64DEC"/>
    <w:rsid w:val="00F979B0"/>
    <w:rsid w:val="00FA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99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73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77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B8B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773B8B"/>
  </w:style>
  <w:style w:type="paragraph" w:styleId="FootnoteText">
    <w:name w:val="footnote text"/>
    <w:basedOn w:val="Normal"/>
    <w:link w:val="FootnoteTextChar"/>
    <w:uiPriority w:val="99"/>
    <w:semiHidden/>
    <w:unhideWhenUsed/>
    <w:rsid w:val="00773B8B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B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B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8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8693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64DE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</dc:creator>
  <cp:lastModifiedBy>Korisnik</cp:lastModifiedBy>
  <cp:revision>41</cp:revision>
  <dcterms:created xsi:type="dcterms:W3CDTF">2019-09-23T11:26:00Z</dcterms:created>
  <dcterms:modified xsi:type="dcterms:W3CDTF">2021-01-27T10:25:00Z</dcterms:modified>
</cp:coreProperties>
</file>