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C003F" w:rsidRDefault="00AC0A9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638D0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638D0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C0A9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AC0A92" w:rsidRDefault="00AC0A9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C00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94A8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94A8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05F2E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 w:rsidRPr="001F3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94A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C0A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9A284F" w:rsidRPr="004923F4" w:rsidRDefault="00AC0A9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94A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C0A92" w:rsidRDefault="00AC0A92" w:rsidP="00AC0A9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AC0A92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05F2E" w:rsidP="00005F2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0</w:t>
            </w:r>
            <w:r w:rsidR="00C638D0">
              <w:rPr>
                <w:rFonts w:ascii="Times New Roman" w:hAnsi="Times New Roman" w:cs="Times New Roman"/>
                <w:sz w:val="18"/>
              </w:rPr>
              <w:t>6</w:t>
            </w:r>
            <w:r w:rsidRPr="00005F2E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4E54" w:rsidP="00024E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638D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.01.2020</w:t>
            </w:r>
            <w:r w:rsidR="00005F2E" w:rsidRPr="00005F2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05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Upisan diplomski studij engleskoga jezika i književnosti (nastavnički smjer)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 Kolega, lektor</w:t>
            </w: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Cathy-Theresa Kolega,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94A8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820B11" w:rsidRPr="00820B11" w:rsidRDefault="00820B11" w:rsidP="00820B11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samoocjenjivati svoje pisanje i ocjenjivati pisanje kolega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napredan vokabular (idiomi, kolokacije, frazni glagoli),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785CAA" w:rsidRPr="00B4202A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F74357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785CAA" w:rsidRPr="00B4202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74357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5E31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5E310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94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C638D0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Siječanj/Veljača, </w:t>
            </w:r>
            <w:r w:rsidR="00AC0A92" w:rsidRPr="00AC0A92">
              <w:rPr>
                <w:rFonts w:ascii="Times New Roman" w:hAnsi="Times New Roman" w:cs="Times New Roman"/>
                <w:sz w:val="18"/>
              </w:rPr>
              <w:t>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C638D0" w:rsidP="001A4B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Rujan, </w:t>
            </w:r>
            <w:r w:rsidR="001A4B41" w:rsidRPr="001A4B41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55ACC" w:rsidP="00655A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ACC">
              <w:rPr>
                <w:rFonts w:ascii="Times New Roman" w:eastAsia="MS Gothic" w:hAnsi="Times New Roman" w:cs="Times New Roman"/>
                <w:sz w:val="18"/>
              </w:rPr>
              <w:t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kolokacije, frazni glagoli) te razvijanje prijevodne kompetencije. Kroz vježbe prevođenja studenti ponavljaju i koriste složenije gramatičke strukture.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</w:t>
                  </w:r>
                  <w:r w:rsidR="005C28EB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ntercultural communication (discussion)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The importance of nonverbal communication  (video clip)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araphrasing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Revision</w:t>
                  </w: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21630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TEST 2</w:t>
                  </w:r>
                </w:p>
                <w:p w:rsidR="00C638D0" w:rsidRDefault="00C638D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638D0" w:rsidRPr="002501C4" w:rsidRDefault="00C638D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770C6" w:rsidRPr="00A770C6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Gardner, P.S. (2005). New Directions. Cambridge: Cambridge University Press.</w:t>
            </w:r>
          </w:p>
          <w:p w:rsidR="009A284F" w:rsidRPr="009947BA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A4B41">
              <w:rPr>
                <w:rFonts w:ascii="Times New Roman" w:eastAsia="MS Gothic" w:hAnsi="Times New Roman" w:cs="Times New Roman"/>
                <w:sz w:val="18"/>
              </w:rPr>
              <w:t>Fitzpatrick, M. (2005). Engaging Writing: Paragraphs and Essays. New York: Longman.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A4B41">
              <w:rPr>
                <w:rFonts w:ascii="Times New Roman" w:eastAsia="MS Gothic" w:hAnsi="Times New Roman" w:cs="Times New Roman"/>
                <w:sz w:val="18"/>
              </w:rPr>
              <w:t>McCarthy, M., O'Dell, F. (2008). English Vocabulary in Collocations Advanced. Cambridge: Cambridge University Press.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A4B41">
              <w:rPr>
                <w:rFonts w:ascii="Times New Roman" w:eastAsia="MS Gothic" w:hAnsi="Times New Roman" w:cs="Times New Roman"/>
                <w:sz w:val="18"/>
              </w:rPr>
              <w:t>McCarthy, M., O'Dell, F. (2007). English Phrasal Verbs  in Use Advanced. Cambridge: Cambridge University Press.</w:t>
            </w:r>
          </w:p>
          <w:p w:rsidR="009A284F" w:rsidRPr="009947B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A4B41">
              <w:rPr>
                <w:rFonts w:ascii="Times New Roman" w:eastAsia="MS Gothic" w:hAnsi="Times New Roman" w:cs="Times New Roman"/>
                <w:sz w:val="18"/>
              </w:rPr>
              <w:t>Teacher-made materials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C638D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 i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 xml:space="preserve">zboru nastavnika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94A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94A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94A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ADB" w:rsidRPr="00FA4ADB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9A284F" w:rsidRPr="00B7307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FA4A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ADB" w:rsidRPr="00B4202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0561A6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ADB" w:rsidRDefault="00594A8A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A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ADB" w:rsidRDefault="00594A8A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ADB" w:rsidRDefault="00594A8A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ADB" w:rsidRDefault="00594A8A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ADB" w:rsidRPr="009947BA" w:rsidRDefault="00594A8A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8A" w:rsidRDefault="00594A8A" w:rsidP="009947BA">
      <w:pPr>
        <w:spacing w:before="0" w:after="0"/>
      </w:pPr>
      <w:r>
        <w:separator/>
      </w:r>
    </w:p>
  </w:endnote>
  <w:endnote w:type="continuationSeparator" w:id="0">
    <w:p w:rsidR="00594A8A" w:rsidRDefault="00594A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8A" w:rsidRDefault="00594A8A" w:rsidP="009947BA">
      <w:pPr>
        <w:spacing w:before="0" w:after="0"/>
      </w:pPr>
      <w:r>
        <w:separator/>
      </w:r>
    </w:p>
  </w:footnote>
  <w:footnote w:type="continuationSeparator" w:id="0">
    <w:p w:rsidR="00594A8A" w:rsidRDefault="00594A8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F2E"/>
    <w:rsid w:val="0001045D"/>
    <w:rsid w:val="00024E54"/>
    <w:rsid w:val="000561A6"/>
    <w:rsid w:val="000A790E"/>
    <w:rsid w:val="000C003F"/>
    <w:rsid w:val="000C0578"/>
    <w:rsid w:val="000F6F79"/>
    <w:rsid w:val="00101F11"/>
    <w:rsid w:val="0010332B"/>
    <w:rsid w:val="001443A2"/>
    <w:rsid w:val="00150B32"/>
    <w:rsid w:val="00163629"/>
    <w:rsid w:val="00176D30"/>
    <w:rsid w:val="00196B4A"/>
    <w:rsid w:val="00197510"/>
    <w:rsid w:val="001A4B41"/>
    <w:rsid w:val="001F361F"/>
    <w:rsid w:val="0022722C"/>
    <w:rsid w:val="002501C4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0009"/>
    <w:rsid w:val="00431389"/>
    <w:rsid w:val="00453362"/>
    <w:rsid w:val="00461219"/>
    <w:rsid w:val="00470F6D"/>
    <w:rsid w:val="00483BC3"/>
    <w:rsid w:val="004923F4"/>
    <w:rsid w:val="004B50E8"/>
    <w:rsid w:val="004B553E"/>
    <w:rsid w:val="004D09E9"/>
    <w:rsid w:val="005353ED"/>
    <w:rsid w:val="005514C3"/>
    <w:rsid w:val="00594A8A"/>
    <w:rsid w:val="005C28EB"/>
    <w:rsid w:val="005D3518"/>
    <w:rsid w:val="005E1668"/>
    <w:rsid w:val="005E310B"/>
    <w:rsid w:val="005F6E0B"/>
    <w:rsid w:val="00621630"/>
    <w:rsid w:val="0062328F"/>
    <w:rsid w:val="00655ACC"/>
    <w:rsid w:val="0067106E"/>
    <w:rsid w:val="00684BBC"/>
    <w:rsid w:val="006B4920"/>
    <w:rsid w:val="00700D7A"/>
    <w:rsid w:val="0073010B"/>
    <w:rsid w:val="007361E7"/>
    <w:rsid w:val="007368EB"/>
    <w:rsid w:val="0078125F"/>
    <w:rsid w:val="00785CAA"/>
    <w:rsid w:val="00794496"/>
    <w:rsid w:val="007967CC"/>
    <w:rsid w:val="00796DE7"/>
    <w:rsid w:val="0079745E"/>
    <w:rsid w:val="00797B40"/>
    <w:rsid w:val="007C43A4"/>
    <w:rsid w:val="007D4D2D"/>
    <w:rsid w:val="00820B11"/>
    <w:rsid w:val="00865776"/>
    <w:rsid w:val="00870026"/>
    <w:rsid w:val="00874D5D"/>
    <w:rsid w:val="00891C60"/>
    <w:rsid w:val="008942F0"/>
    <w:rsid w:val="008A3541"/>
    <w:rsid w:val="008C7FA8"/>
    <w:rsid w:val="008D45DB"/>
    <w:rsid w:val="0090144D"/>
    <w:rsid w:val="0090214F"/>
    <w:rsid w:val="009163E6"/>
    <w:rsid w:val="009760E8"/>
    <w:rsid w:val="009947BA"/>
    <w:rsid w:val="00997F41"/>
    <w:rsid w:val="009A284F"/>
    <w:rsid w:val="009C56B1"/>
    <w:rsid w:val="009C708C"/>
    <w:rsid w:val="009D5226"/>
    <w:rsid w:val="009E2FD4"/>
    <w:rsid w:val="00A770C6"/>
    <w:rsid w:val="00A9132B"/>
    <w:rsid w:val="00AA1A5A"/>
    <w:rsid w:val="00AC0A92"/>
    <w:rsid w:val="00AD23FB"/>
    <w:rsid w:val="00B4202A"/>
    <w:rsid w:val="00B466A2"/>
    <w:rsid w:val="00B612F8"/>
    <w:rsid w:val="00B71A57"/>
    <w:rsid w:val="00B7307A"/>
    <w:rsid w:val="00C02454"/>
    <w:rsid w:val="00C3477B"/>
    <w:rsid w:val="00C638D0"/>
    <w:rsid w:val="00C85956"/>
    <w:rsid w:val="00C9733D"/>
    <w:rsid w:val="00CA3783"/>
    <w:rsid w:val="00CB23F4"/>
    <w:rsid w:val="00CF5D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0A9D"/>
    <w:rsid w:val="00F02A8F"/>
    <w:rsid w:val="00F513E0"/>
    <w:rsid w:val="00F566DA"/>
    <w:rsid w:val="00F74357"/>
    <w:rsid w:val="00F843C6"/>
    <w:rsid w:val="00F84F5E"/>
    <w:rsid w:val="00FA4ADB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5921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A0A0-58C2-440E-944E-21905379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3</cp:revision>
  <dcterms:created xsi:type="dcterms:W3CDTF">2020-02-05T14:04:00Z</dcterms:created>
  <dcterms:modified xsi:type="dcterms:W3CDTF">2020-09-21T09:09:00Z</dcterms:modified>
</cp:coreProperties>
</file>